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29081" w14:textId="77777777" w:rsidR="00703367" w:rsidRPr="004347FF" w:rsidRDefault="00000000" w:rsidP="004347FF">
      <w:pPr>
        <w:spacing w:after="240" w:line="276" w:lineRule="auto"/>
        <w:jc w:val="center"/>
        <w:rPr>
          <w:rFonts w:ascii="Open Sans" w:hAnsi="Open Sans" w:cs="Open Sans"/>
        </w:rPr>
      </w:pPr>
      <w:r w:rsidRPr="004347FF">
        <w:rPr>
          <w:rFonts w:ascii="Open Sans" w:hAnsi="Open Sans" w:cs="Open Sans"/>
          <w:b/>
          <w:sz w:val="28"/>
        </w:rPr>
        <w:t>TERMO DE ADESÃO E CIÊNCIA DO PARCEIRO INDICADOR</w:t>
      </w:r>
      <w:r w:rsidRPr="004347FF">
        <w:rPr>
          <w:rFonts w:ascii="Open Sans" w:hAnsi="Open Sans" w:cs="Open Sans"/>
          <w:b/>
          <w:sz w:val="28"/>
        </w:rPr>
        <w:br/>
        <w:t>CAMPANHA “INDIQUE E GANHE”</w:t>
      </w:r>
    </w:p>
    <w:p w14:paraId="41CE7E7A"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Pelo presente Termo de Adesão e Ciência (“Termo”), o(a) parceiro(a) indicador(a) abaixo identificado(a) declara que leu, compreendeu e aceita integralmente as condições da campanha “Indique e Ganhe”, promovida pela Thopp Elevadores, conforme regulamento próprio da campanha, bem como as disposições complementares abaixo.</w:t>
      </w:r>
    </w:p>
    <w:p w14:paraId="29D6F174"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1. Identificação do parceiro indicador</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835"/>
        <w:gridCol w:w="6236"/>
      </w:tblGrid>
      <w:tr w:rsidR="00703367" w:rsidRPr="004347FF" w14:paraId="6B81A58B" w14:textId="77777777">
        <w:trPr>
          <w:jc w:val="center"/>
        </w:trPr>
        <w:tc>
          <w:tcPr>
            <w:tcW w:w="2835" w:type="dxa"/>
            <w:vAlign w:val="center"/>
          </w:tcPr>
          <w:p w14:paraId="35F9AE88"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Nome completo / Razão social</w:t>
            </w:r>
          </w:p>
        </w:tc>
        <w:tc>
          <w:tcPr>
            <w:tcW w:w="6236" w:type="dxa"/>
            <w:vAlign w:val="center"/>
          </w:tcPr>
          <w:p w14:paraId="46A96482" w14:textId="77777777" w:rsidR="00703367" w:rsidRPr="004347FF" w:rsidRDefault="00703367" w:rsidP="004347FF">
            <w:pPr>
              <w:spacing w:after="240" w:line="276" w:lineRule="auto"/>
              <w:rPr>
                <w:rFonts w:ascii="Open Sans" w:hAnsi="Open Sans" w:cs="Open Sans"/>
              </w:rPr>
            </w:pPr>
          </w:p>
        </w:tc>
      </w:tr>
      <w:tr w:rsidR="00703367" w:rsidRPr="004347FF" w14:paraId="45CDF746" w14:textId="77777777">
        <w:trPr>
          <w:jc w:val="center"/>
        </w:trPr>
        <w:tc>
          <w:tcPr>
            <w:tcW w:w="2835" w:type="dxa"/>
            <w:vAlign w:val="center"/>
          </w:tcPr>
          <w:p w14:paraId="67B8A8ED"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CPF / CNPJ</w:t>
            </w:r>
          </w:p>
        </w:tc>
        <w:tc>
          <w:tcPr>
            <w:tcW w:w="6236" w:type="dxa"/>
            <w:vAlign w:val="center"/>
          </w:tcPr>
          <w:p w14:paraId="32356770" w14:textId="77777777" w:rsidR="00703367" w:rsidRPr="004347FF" w:rsidRDefault="00703367" w:rsidP="004347FF">
            <w:pPr>
              <w:spacing w:after="240" w:line="276" w:lineRule="auto"/>
              <w:rPr>
                <w:rFonts w:ascii="Open Sans" w:hAnsi="Open Sans" w:cs="Open Sans"/>
              </w:rPr>
            </w:pPr>
          </w:p>
        </w:tc>
      </w:tr>
      <w:tr w:rsidR="00703367" w:rsidRPr="004347FF" w14:paraId="5480EB04" w14:textId="77777777">
        <w:trPr>
          <w:jc w:val="center"/>
        </w:trPr>
        <w:tc>
          <w:tcPr>
            <w:tcW w:w="2835" w:type="dxa"/>
            <w:vAlign w:val="center"/>
          </w:tcPr>
          <w:p w14:paraId="09940C21"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Telefone / WhatsApp</w:t>
            </w:r>
          </w:p>
        </w:tc>
        <w:tc>
          <w:tcPr>
            <w:tcW w:w="6236" w:type="dxa"/>
            <w:vAlign w:val="center"/>
          </w:tcPr>
          <w:p w14:paraId="0FA1FD59" w14:textId="77777777" w:rsidR="00703367" w:rsidRPr="004347FF" w:rsidRDefault="00703367" w:rsidP="004347FF">
            <w:pPr>
              <w:spacing w:after="240" w:line="276" w:lineRule="auto"/>
              <w:rPr>
                <w:rFonts w:ascii="Open Sans" w:hAnsi="Open Sans" w:cs="Open Sans"/>
              </w:rPr>
            </w:pPr>
          </w:p>
        </w:tc>
      </w:tr>
      <w:tr w:rsidR="00703367" w:rsidRPr="004347FF" w14:paraId="38001CA2" w14:textId="77777777">
        <w:trPr>
          <w:jc w:val="center"/>
        </w:trPr>
        <w:tc>
          <w:tcPr>
            <w:tcW w:w="2835" w:type="dxa"/>
            <w:vAlign w:val="center"/>
          </w:tcPr>
          <w:p w14:paraId="70C4CE51"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E-mail</w:t>
            </w:r>
          </w:p>
        </w:tc>
        <w:tc>
          <w:tcPr>
            <w:tcW w:w="6236" w:type="dxa"/>
            <w:vAlign w:val="center"/>
          </w:tcPr>
          <w:p w14:paraId="492BFFC6" w14:textId="77777777" w:rsidR="00703367" w:rsidRPr="004347FF" w:rsidRDefault="00703367" w:rsidP="004347FF">
            <w:pPr>
              <w:spacing w:after="240" w:line="276" w:lineRule="auto"/>
              <w:rPr>
                <w:rFonts w:ascii="Open Sans" w:hAnsi="Open Sans" w:cs="Open Sans"/>
              </w:rPr>
            </w:pPr>
          </w:p>
        </w:tc>
      </w:tr>
      <w:tr w:rsidR="00703367" w:rsidRPr="004347FF" w14:paraId="4E1C2EAD" w14:textId="77777777">
        <w:trPr>
          <w:jc w:val="center"/>
        </w:trPr>
        <w:tc>
          <w:tcPr>
            <w:tcW w:w="2835" w:type="dxa"/>
            <w:vAlign w:val="center"/>
          </w:tcPr>
          <w:p w14:paraId="77573430"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Endereço</w:t>
            </w:r>
          </w:p>
        </w:tc>
        <w:tc>
          <w:tcPr>
            <w:tcW w:w="6236" w:type="dxa"/>
            <w:vAlign w:val="center"/>
          </w:tcPr>
          <w:p w14:paraId="6779FE43" w14:textId="77777777" w:rsidR="00703367" w:rsidRPr="004347FF" w:rsidRDefault="00703367" w:rsidP="004347FF">
            <w:pPr>
              <w:spacing w:after="240" w:line="276" w:lineRule="auto"/>
              <w:rPr>
                <w:rFonts w:ascii="Open Sans" w:hAnsi="Open Sans" w:cs="Open Sans"/>
              </w:rPr>
            </w:pPr>
          </w:p>
        </w:tc>
      </w:tr>
      <w:tr w:rsidR="00703367" w:rsidRPr="004347FF" w14:paraId="0F7ACAAB" w14:textId="77777777">
        <w:trPr>
          <w:jc w:val="center"/>
        </w:trPr>
        <w:tc>
          <w:tcPr>
            <w:tcW w:w="2835" w:type="dxa"/>
            <w:vAlign w:val="center"/>
          </w:tcPr>
          <w:p w14:paraId="2A3770A0"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sz w:val="19"/>
              </w:rPr>
              <w:t>Chave Pix / Banco</w:t>
            </w:r>
          </w:p>
        </w:tc>
        <w:tc>
          <w:tcPr>
            <w:tcW w:w="6236" w:type="dxa"/>
            <w:vAlign w:val="center"/>
          </w:tcPr>
          <w:p w14:paraId="2BE8726F" w14:textId="77777777" w:rsidR="00703367" w:rsidRPr="004347FF" w:rsidRDefault="00703367" w:rsidP="004347FF">
            <w:pPr>
              <w:spacing w:after="240" w:line="276" w:lineRule="auto"/>
              <w:rPr>
                <w:rFonts w:ascii="Open Sans" w:hAnsi="Open Sans" w:cs="Open Sans"/>
              </w:rPr>
            </w:pPr>
          </w:p>
        </w:tc>
      </w:tr>
    </w:tbl>
    <w:p w14:paraId="74BDBA64" w14:textId="77777777" w:rsidR="00703367" w:rsidRPr="004347FF" w:rsidRDefault="00000000" w:rsidP="004347FF">
      <w:pPr>
        <w:spacing w:before="240" w:after="240" w:line="276" w:lineRule="auto"/>
        <w:rPr>
          <w:rFonts w:ascii="Open Sans" w:hAnsi="Open Sans" w:cs="Open Sans"/>
          <w:b/>
          <w:bCs/>
        </w:rPr>
      </w:pPr>
      <w:r w:rsidRPr="004347FF">
        <w:rPr>
          <w:rFonts w:ascii="Open Sans" w:hAnsi="Open Sans" w:cs="Open Sans"/>
          <w:b/>
          <w:bCs/>
        </w:rPr>
        <w:t>2. Objeto</w:t>
      </w:r>
    </w:p>
    <w:p w14:paraId="2DA477FA"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presente Termo tem por objeto formalizar a adesão do parceiro indicador à campanha “Indique e Ganhe”, por meio da qual poderá fazer jus ao recebimento de bonificação financeira por indicações que resultem na celebração de contrato de manutenção de elevadores com a Thopp Elevadores, observadas todas as condições previstas no regulamento da campanha.</w:t>
      </w:r>
    </w:p>
    <w:p w14:paraId="199B9028"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assinatura deste Termo não cria vínculo empregatício, societário, representação comercial, agência, mandato, franquia, exclusividade ou subordinação entre o parceiro indicador e a Thopp Elevadores.</w:t>
      </w:r>
    </w:p>
    <w:p w14:paraId="7FF61C4E"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3. Ciência e aceitação do regulamento</w:t>
      </w:r>
    </w:p>
    <w:p w14:paraId="1FA8CB02"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declara ter recebido, lido e compreendido o Regulamento da Campanha “Indique e Ganhe”, concordando que a bonificação somente será devida se todos os requisitos nele previstos forem integralmente cumpridos.</w:t>
      </w:r>
    </w:p>
    <w:p w14:paraId="2980CA25"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Em caso de divergência entre este Termo e o Regulamento da Campanha, prevalecerão as regras específicas do Regulamento quanto aos critérios de elegibilidade, validação, prazo, valor, condições de pagamento e hipóteses de não pagamento.</w:t>
      </w:r>
    </w:p>
    <w:p w14:paraId="4CD7ACAE" w14:textId="77777777" w:rsidR="00703367" w:rsidRPr="004347FF" w:rsidRDefault="00000000" w:rsidP="004347FF">
      <w:pPr>
        <w:spacing w:line="276" w:lineRule="auto"/>
        <w:rPr>
          <w:rFonts w:ascii="Open Sans" w:hAnsi="Open Sans" w:cs="Open Sans"/>
          <w:b/>
          <w:bCs/>
          <w:color w:val="000000" w:themeColor="text1"/>
        </w:rPr>
      </w:pPr>
      <w:r w:rsidRPr="004347FF">
        <w:rPr>
          <w:rFonts w:ascii="Open Sans" w:hAnsi="Open Sans" w:cs="Open Sans"/>
          <w:b/>
          <w:bCs/>
          <w:color w:val="000000" w:themeColor="text1"/>
        </w:rPr>
        <w:lastRenderedPageBreak/>
        <w:t>4. Requisitos da indicação</w:t>
      </w:r>
    </w:p>
    <w:p w14:paraId="090874BE"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indicação deverá ser realizada pelos canais oficiais da campanha e conter, no mínimo, nome do condomínio ou empresa indicada, nome do responsável ou síndico, telefone para contato, quantidade de elevadores e demais informações eventualmente solicitadas pela Thopp Elevadores.</w:t>
      </w:r>
    </w:p>
    <w:p w14:paraId="24735539"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Somente será considerada válida a indicação que se refira a contato ainda não registrado na base comercial da Thopp Elevadores e que não esteja em negociação ativa ou previamente conduzida pela empresa.</w:t>
      </w:r>
    </w:p>
    <w:p w14:paraId="77992805"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indicação válida será atribuída ao primeiro parceiro que registrar oficialmente o contato indicado nos canais da campanha.</w:t>
      </w:r>
    </w:p>
    <w:p w14:paraId="49A1507C"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5. Condições para pagamento da bonificação</w:t>
      </w:r>
    </w:p>
    <w:p w14:paraId="4C998AE0"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fará jus à bonificação de R$ 250,00 (duzentos e cinquenta reais) por elevador incluído em contrato de manutenção firmado em razão da indicação validamente registrada.</w:t>
      </w:r>
    </w:p>
    <w:p w14:paraId="39718772" w14:textId="756E3164"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 xml:space="preserve">A bonificação somente será liberada após a assinatura do contrato de manutenção, ativação do atendimento e pagamento da </w:t>
      </w:r>
      <w:r w:rsidR="002B7A2E">
        <w:rPr>
          <w:rFonts w:ascii="Open Sans" w:hAnsi="Open Sans" w:cs="Open Sans"/>
        </w:rPr>
        <w:t>primeira</w:t>
      </w:r>
      <w:r w:rsidRPr="004347FF">
        <w:rPr>
          <w:rFonts w:ascii="Open Sans" w:hAnsi="Open Sans" w:cs="Open Sans"/>
        </w:rPr>
        <w:t xml:space="preserve"> mensalidade pelo condomínio ou empresa indicada.</w:t>
      </w:r>
    </w:p>
    <w:p w14:paraId="5365F29C"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pagamento poderá depender do fornecimento de dados cadastrais, chave Pix, recibo, nota fiscal, comprovante ou documento equivalente, conforme necessidade administrativa, financeira, fiscal ou contábil da Thopp Elevadores.</w:t>
      </w:r>
    </w:p>
    <w:p w14:paraId="09192E7B" w14:textId="6F402B42"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 xml:space="preserve">Não será devida bonificação nos casos de indicação inválida, dados incompletos ou incorretos, contato já existente na base comercial, negociação previamente iniciada, ausência de assinatura do contrato, inadimplência </w:t>
      </w:r>
      <w:r w:rsidR="002B7A2E">
        <w:rPr>
          <w:rFonts w:ascii="Open Sans" w:hAnsi="Open Sans" w:cs="Open Sans"/>
        </w:rPr>
        <w:t>da primeira</w:t>
      </w:r>
      <w:r w:rsidRPr="004347FF">
        <w:rPr>
          <w:rFonts w:ascii="Open Sans" w:hAnsi="Open Sans" w:cs="Open Sans"/>
        </w:rPr>
        <w:t xml:space="preserve"> mensalidade, cancelamento antes da ativação do atendimento, impossibilidade operacional de atendimento ou descumprimento deste Termo e/ou do Regulamento.</w:t>
      </w:r>
    </w:p>
    <w:p w14:paraId="2618D610" w14:textId="77777777" w:rsidR="00703367" w:rsidRPr="004347FF" w:rsidRDefault="00000000" w:rsidP="004347FF">
      <w:pPr>
        <w:spacing w:line="276" w:lineRule="auto"/>
        <w:rPr>
          <w:rFonts w:ascii="Open Sans" w:hAnsi="Open Sans" w:cs="Open Sans"/>
          <w:b/>
          <w:bCs/>
          <w:color w:val="000000" w:themeColor="text1"/>
        </w:rPr>
      </w:pPr>
      <w:r w:rsidRPr="004347FF">
        <w:rPr>
          <w:rFonts w:ascii="Open Sans" w:hAnsi="Open Sans" w:cs="Open Sans"/>
          <w:b/>
          <w:bCs/>
          <w:color w:val="000000" w:themeColor="text1"/>
        </w:rPr>
        <w:t>6. Declarações do parceiro indicador</w:t>
      </w:r>
    </w:p>
    <w:p w14:paraId="21D8F231"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declara que as informações fornecidas à Thopp Elevadores são verdadeiras, completas e atualizadas, responsabilizando-se por eventuais incorreções ou omissões.</w:t>
      </w:r>
    </w:p>
    <w:p w14:paraId="1ACFF521"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compromete-se a não realizar promessas comerciais, concessão de descontos, garantias, condições contratuais ou declarações em nome da Thopp Elevadores sem prévia autorização expressa da empresa.</w:t>
      </w:r>
    </w:p>
    <w:p w14:paraId="36FBB6B9" w14:textId="6450519C" w:rsidR="00703367" w:rsidRDefault="00000000" w:rsidP="004347FF">
      <w:pPr>
        <w:spacing w:after="240" w:line="276" w:lineRule="auto"/>
        <w:jc w:val="both"/>
        <w:rPr>
          <w:rFonts w:ascii="Open Sans" w:hAnsi="Open Sans" w:cs="Open Sans"/>
        </w:rPr>
      </w:pPr>
      <w:r w:rsidRPr="004347FF">
        <w:rPr>
          <w:rFonts w:ascii="Open Sans" w:hAnsi="Open Sans" w:cs="Open Sans"/>
        </w:rPr>
        <w:t>O parceiro indicador compromete-se a atuar de forma ética, transparente e sem utilização de práticas abusivas, enganosas, insistentes ou que possam gerar constrangimento ao contato indicado</w:t>
      </w:r>
      <w:r w:rsidR="004347FF">
        <w:rPr>
          <w:rFonts w:ascii="Open Sans" w:hAnsi="Open Sans" w:cs="Open Sans"/>
        </w:rPr>
        <w:t>.</w:t>
      </w:r>
    </w:p>
    <w:p w14:paraId="562C797A" w14:textId="77777777" w:rsidR="004347FF" w:rsidRPr="004347FF" w:rsidRDefault="004347FF" w:rsidP="004347FF">
      <w:pPr>
        <w:spacing w:after="240" w:line="276" w:lineRule="auto"/>
        <w:jc w:val="both"/>
        <w:rPr>
          <w:rFonts w:ascii="Open Sans" w:hAnsi="Open Sans" w:cs="Open Sans"/>
        </w:rPr>
      </w:pPr>
    </w:p>
    <w:p w14:paraId="719DB8D6"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lastRenderedPageBreak/>
        <w:t>7. Proteção de dados pessoais e autorização de contato</w:t>
      </w:r>
    </w:p>
    <w:p w14:paraId="4AC8DD95"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Ao realizar a indicação, o parceiro indicador declara que os dados pessoais compartilhados com a Thopp Elevadores foram obtidos de forma lícita e que possui autorização, legítimo interesse ou legítima expectativa para repassá-los à empresa para fins de contato comercial relacionado à campanha.</w:t>
      </w:r>
    </w:p>
    <w:p w14:paraId="16E97014"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Thopp Elevadores utilizará os dados recebidos exclusivamente para análise, validação da indicação, contato comercial com o indicado, execução da campanha, pagamento de bonificação e cumprimento de obrigações legais, fiscais e contábeis, observada a Lei Geral de Proteção de Dados Pessoais - Lei nº 13.709/2018.</w:t>
      </w:r>
    </w:p>
    <w:p w14:paraId="147D65AB"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compromete-se a não compartilhar dados sensíveis, informações excessivas ou dados não necessários para a finalidade da campanha.</w:t>
      </w:r>
    </w:p>
    <w:p w14:paraId="29B1FFA7"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8. Natureza da campanha</w:t>
      </w:r>
    </w:p>
    <w:p w14:paraId="2CA97BCA"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O parceiro indicador declara ciência de que a campanha não envolve sorteio, concurso, vale-brinde, operação assemelhada, distribuição aleatória de prêmio ou qualquer modalidade de álea, sendo a bonificação condicionada ao cumprimento integral dos requisitos previstos no Regulamento e neste Termo.</w:t>
      </w:r>
    </w:p>
    <w:p w14:paraId="7CFED137"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participação na campanha é voluntária, não onerosa e não garante ao parceiro indicador qualquer remuneração mínima, fixa ou recorrente.</w:t>
      </w:r>
    </w:p>
    <w:p w14:paraId="56AD2D34" w14:textId="77777777" w:rsidR="00703367" w:rsidRPr="004347FF" w:rsidRDefault="00000000" w:rsidP="004347FF">
      <w:pPr>
        <w:spacing w:line="276" w:lineRule="auto"/>
        <w:rPr>
          <w:rFonts w:ascii="Open Sans" w:hAnsi="Open Sans" w:cs="Open Sans"/>
          <w:b/>
          <w:bCs/>
          <w:color w:val="000000" w:themeColor="text1"/>
        </w:rPr>
      </w:pPr>
      <w:r w:rsidRPr="004347FF">
        <w:rPr>
          <w:rFonts w:ascii="Open Sans" w:hAnsi="Open Sans" w:cs="Open Sans"/>
          <w:b/>
          <w:bCs/>
          <w:color w:val="000000" w:themeColor="text1"/>
        </w:rPr>
        <w:t>9. Vigência e alterações</w:t>
      </w:r>
    </w:p>
    <w:p w14:paraId="4CAC1867"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Este Termo permanecerá válido enquanto o parceiro indicador participar da campanha e enquanto houver indicações pendentes de análise, validação ou pagamento.</w:t>
      </w:r>
    </w:p>
    <w:p w14:paraId="01311292"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Thopp Elevadores poderá alterar, suspender ou encerrar a campanha, mediante divulgação pelos canais oficiais. As indicações validamente registradas antes da alteração, suspensão ou encerramento serão analisadas conforme as regras vigentes na data do respectivo cadastro, desde que preenchidos todos os requisitos aplicáveis.</w:t>
      </w:r>
    </w:p>
    <w:p w14:paraId="52A214C6" w14:textId="77777777" w:rsidR="00703367" w:rsidRPr="004347FF" w:rsidRDefault="00000000" w:rsidP="004347FF">
      <w:pPr>
        <w:spacing w:line="276" w:lineRule="auto"/>
        <w:rPr>
          <w:rFonts w:ascii="Open Sans" w:hAnsi="Open Sans" w:cs="Open Sans"/>
          <w:b/>
          <w:bCs/>
          <w:color w:val="000000" w:themeColor="text1"/>
        </w:rPr>
      </w:pPr>
      <w:r w:rsidRPr="004347FF">
        <w:rPr>
          <w:rFonts w:ascii="Open Sans" w:hAnsi="Open Sans" w:cs="Open Sans"/>
          <w:b/>
          <w:bCs/>
          <w:color w:val="000000" w:themeColor="text1"/>
        </w:rPr>
        <w:t>10. Responsabilidade e conformidade com o CDC</w:t>
      </w:r>
    </w:p>
    <w:p w14:paraId="2F03D071"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A Thopp Elevadores manterá as condições da campanha de forma clara, adequada e ostensiva, de modo a evitar interpretações dúbias quanto aos requisitos, limitações, valores, prazos e condições de pagamento da bonificação.</w:t>
      </w:r>
    </w:p>
    <w:p w14:paraId="40603C31" w14:textId="77777777" w:rsidR="00703367" w:rsidRDefault="00000000" w:rsidP="004347FF">
      <w:pPr>
        <w:spacing w:after="240" w:line="276" w:lineRule="auto"/>
        <w:jc w:val="both"/>
        <w:rPr>
          <w:rFonts w:ascii="Open Sans" w:hAnsi="Open Sans" w:cs="Open Sans"/>
        </w:rPr>
      </w:pPr>
      <w:r w:rsidRPr="004347FF">
        <w:rPr>
          <w:rFonts w:ascii="Open Sans" w:hAnsi="Open Sans" w:cs="Open Sans"/>
        </w:rPr>
        <w:t>O parceiro indicador declara ciência de que não poderá divulgar informações divergentes do Regulamento oficial, nem induzir consumidores, condomínios, empresas ou terceiros a erro quanto às condições da campanha ou dos serviços prestados pela Thopp Elevadores.</w:t>
      </w:r>
    </w:p>
    <w:p w14:paraId="38114C5C" w14:textId="77777777" w:rsidR="004347FF" w:rsidRDefault="004347FF" w:rsidP="004347FF">
      <w:pPr>
        <w:spacing w:after="240" w:line="276" w:lineRule="auto"/>
        <w:jc w:val="both"/>
        <w:rPr>
          <w:rFonts w:ascii="Open Sans" w:hAnsi="Open Sans" w:cs="Open Sans"/>
        </w:rPr>
      </w:pPr>
    </w:p>
    <w:p w14:paraId="67F15023" w14:textId="77777777" w:rsidR="004347FF" w:rsidRPr="004347FF" w:rsidRDefault="004347FF" w:rsidP="004347FF">
      <w:pPr>
        <w:spacing w:after="240" w:line="276" w:lineRule="auto"/>
        <w:jc w:val="both"/>
        <w:rPr>
          <w:rFonts w:ascii="Open Sans" w:hAnsi="Open Sans" w:cs="Open Sans"/>
        </w:rPr>
      </w:pPr>
    </w:p>
    <w:p w14:paraId="46F20608"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11. Foro</w:t>
      </w:r>
    </w:p>
    <w:p w14:paraId="4DDE3FC4" w14:textId="77777777" w:rsidR="00703367" w:rsidRPr="004347FF" w:rsidRDefault="00000000" w:rsidP="004347FF">
      <w:pPr>
        <w:spacing w:after="240" w:line="276" w:lineRule="auto"/>
        <w:jc w:val="both"/>
        <w:rPr>
          <w:rFonts w:ascii="Open Sans" w:hAnsi="Open Sans" w:cs="Open Sans"/>
        </w:rPr>
      </w:pPr>
      <w:r w:rsidRPr="004347FF">
        <w:rPr>
          <w:rFonts w:ascii="Open Sans" w:hAnsi="Open Sans" w:cs="Open Sans"/>
        </w:rPr>
        <w:t>Fica eleito o foro da Comarca de Belo Horizonte/MG para dirimir eventuais controvérsias relacionadas ao presente Termo, salvo disposição legal obrigatória em sentido diverso.</w:t>
      </w:r>
    </w:p>
    <w:p w14:paraId="62411A64" w14:textId="77777777" w:rsidR="00703367" w:rsidRPr="004347FF" w:rsidRDefault="00000000" w:rsidP="004347FF">
      <w:pPr>
        <w:spacing w:line="276" w:lineRule="auto"/>
        <w:rPr>
          <w:rFonts w:ascii="Open Sans" w:hAnsi="Open Sans" w:cs="Open Sans"/>
          <w:b/>
          <w:bCs/>
        </w:rPr>
      </w:pPr>
      <w:r w:rsidRPr="004347FF">
        <w:rPr>
          <w:rFonts w:ascii="Open Sans" w:hAnsi="Open Sans" w:cs="Open Sans"/>
          <w:b/>
          <w:bCs/>
        </w:rPr>
        <w:t>12. Declaração final</w:t>
      </w:r>
    </w:p>
    <w:p w14:paraId="769E6683" w14:textId="77777777" w:rsidR="00703367" w:rsidRPr="004347FF" w:rsidRDefault="00000000" w:rsidP="004347FF">
      <w:pPr>
        <w:spacing w:after="240" w:line="276" w:lineRule="auto"/>
        <w:ind w:left="227"/>
        <w:rPr>
          <w:rFonts w:ascii="Open Sans" w:hAnsi="Open Sans" w:cs="Open Sans"/>
        </w:rPr>
      </w:pPr>
      <w:r w:rsidRPr="004347FF">
        <w:rPr>
          <w:rFonts w:ascii="Segoe UI Symbol" w:hAnsi="Segoe UI Symbol" w:cs="Segoe UI Symbol"/>
          <w:b/>
        </w:rPr>
        <w:t>☐</w:t>
      </w:r>
      <w:r w:rsidRPr="004347FF">
        <w:rPr>
          <w:rFonts w:ascii="Open Sans" w:hAnsi="Open Sans" w:cs="Open Sans"/>
          <w:b/>
        </w:rPr>
        <w:t xml:space="preserve"> </w:t>
      </w:r>
      <w:r w:rsidRPr="004347FF">
        <w:rPr>
          <w:rFonts w:ascii="Open Sans" w:hAnsi="Open Sans" w:cs="Open Sans"/>
        </w:rPr>
        <w:t>Declaro que li e aceito o Regulamento da Campanha “Indique e Ganhe”.</w:t>
      </w:r>
    </w:p>
    <w:p w14:paraId="35CF96EB" w14:textId="77777777" w:rsidR="00703367" w:rsidRPr="004347FF" w:rsidRDefault="00000000" w:rsidP="004347FF">
      <w:pPr>
        <w:spacing w:after="240" w:line="276" w:lineRule="auto"/>
        <w:ind w:left="227"/>
        <w:rPr>
          <w:rFonts w:ascii="Open Sans" w:hAnsi="Open Sans" w:cs="Open Sans"/>
        </w:rPr>
      </w:pPr>
      <w:r w:rsidRPr="004347FF">
        <w:rPr>
          <w:rFonts w:ascii="Segoe UI Symbol" w:hAnsi="Segoe UI Symbol" w:cs="Segoe UI Symbol"/>
          <w:b/>
        </w:rPr>
        <w:t>☐</w:t>
      </w:r>
      <w:r w:rsidRPr="004347FF">
        <w:rPr>
          <w:rFonts w:ascii="Open Sans" w:hAnsi="Open Sans" w:cs="Open Sans"/>
          <w:b/>
        </w:rPr>
        <w:t xml:space="preserve"> </w:t>
      </w:r>
      <w:r w:rsidRPr="004347FF">
        <w:rPr>
          <w:rFonts w:ascii="Open Sans" w:hAnsi="Open Sans" w:cs="Open Sans"/>
        </w:rPr>
        <w:t>Declaro que compreendo que a bonificação depende da validação da indicação e do cumprimento integral das condições da campanha.</w:t>
      </w:r>
    </w:p>
    <w:p w14:paraId="77DD7B6D" w14:textId="77777777" w:rsidR="00703367" w:rsidRPr="004347FF" w:rsidRDefault="00000000" w:rsidP="004347FF">
      <w:pPr>
        <w:spacing w:after="240" w:line="276" w:lineRule="auto"/>
        <w:ind w:left="227"/>
        <w:rPr>
          <w:rFonts w:ascii="Open Sans" w:hAnsi="Open Sans" w:cs="Open Sans"/>
        </w:rPr>
      </w:pPr>
      <w:r w:rsidRPr="004347FF">
        <w:rPr>
          <w:rFonts w:ascii="Segoe UI Symbol" w:hAnsi="Segoe UI Symbol" w:cs="Segoe UI Symbol"/>
          <w:b/>
        </w:rPr>
        <w:t>☐</w:t>
      </w:r>
      <w:r w:rsidRPr="004347FF">
        <w:rPr>
          <w:rFonts w:ascii="Open Sans" w:hAnsi="Open Sans" w:cs="Open Sans"/>
          <w:b/>
        </w:rPr>
        <w:t xml:space="preserve"> </w:t>
      </w:r>
      <w:r w:rsidRPr="004347FF">
        <w:rPr>
          <w:rFonts w:ascii="Open Sans" w:hAnsi="Open Sans" w:cs="Open Sans"/>
        </w:rPr>
        <w:t>Declaro que os dados informados nas indicações serão fornecidos de forma lícita e para finalidade compatível com a campanha.</w:t>
      </w:r>
    </w:p>
    <w:p w14:paraId="06D4FE6F" w14:textId="77777777" w:rsidR="00703367" w:rsidRPr="004347FF" w:rsidRDefault="00000000" w:rsidP="004347FF">
      <w:pPr>
        <w:spacing w:after="240" w:line="276" w:lineRule="auto"/>
        <w:ind w:left="227"/>
        <w:rPr>
          <w:rFonts w:ascii="Open Sans" w:hAnsi="Open Sans" w:cs="Open Sans"/>
        </w:rPr>
      </w:pPr>
      <w:r w:rsidRPr="004347FF">
        <w:rPr>
          <w:rFonts w:ascii="Segoe UI Symbol" w:hAnsi="Segoe UI Symbol" w:cs="Segoe UI Symbol"/>
          <w:b/>
        </w:rPr>
        <w:t>☐</w:t>
      </w:r>
      <w:r w:rsidRPr="004347FF">
        <w:rPr>
          <w:rFonts w:ascii="Open Sans" w:hAnsi="Open Sans" w:cs="Open Sans"/>
          <w:b/>
        </w:rPr>
        <w:t xml:space="preserve"> </w:t>
      </w:r>
      <w:r w:rsidRPr="004347FF">
        <w:rPr>
          <w:rFonts w:ascii="Open Sans" w:hAnsi="Open Sans" w:cs="Open Sans"/>
        </w:rPr>
        <w:t>Declaro que não possuo vínculo empregatício, representação comercial, exclusividade ou mandato em relação à Thopp Elevadores.</w:t>
      </w:r>
    </w:p>
    <w:p w14:paraId="3431A94A" w14:textId="0E624742" w:rsidR="00703367" w:rsidRPr="004347FF" w:rsidRDefault="00000000" w:rsidP="004347FF">
      <w:pPr>
        <w:spacing w:after="240" w:line="276" w:lineRule="auto"/>
        <w:jc w:val="right"/>
        <w:rPr>
          <w:rFonts w:ascii="Open Sans" w:hAnsi="Open Sans" w:cs="Open Sans"/>
        </w:rPr>
      </w:pPr>
      <w:r w:rsidRPr="004347FF">
        <w:rPr>
          <w:rFonts w:ascii="Open Sans" w:hAnsi="Open Sans" w:cs="Open Sans"/>
        </w:rPr>
        <w:br/>
      </w:r>
      <w:r w:rsidR="004347FF">
        <w:rPr>
          <w:rFonts w:ascii="Open Sans" w:hAnsi="Open Sans" w:cs="Open Sans"/>
        </w:rPr>
        <w:t>Belo Horizonte/MG, 28 de maio de 2026.</w:t>
      </w:r>
    </w:p>
    <w:p w14:paraId="703841DD" w14:textId="77777777" w:rsidR="00703367" w:rsidRPr="004347FF" w:rsidRDefault="00000000" w:rsidP="004347FF">
      <w:pPr>
        <w:spacing w:after="240" w:line="276" w:lineRule="auto"/>
        <w:jc w:val="center"/>
        <w:rPr>
          <w:rFonts w:ascii="Open Sans" w:hAnsi="Open Sans" w:cs="Open Sans"/>
        </w:rPr>
      </w:pPr>
      <w:r w:rsidRPr="004347FF">
        <w:rPr>
          <w:rFonts w:ascii="Open Sans" w:hAnsi="Open Sans" w:cs="Open Sans"/>
        </w:rPr>
        <w:br/>
      </w:r>
      <w:r w:rsidRPr="004347FF">
        <w:rPr>
          <w:rFonts w:ascii="Open Sans" w:hAnsi="Open Sans" w:cs="Open Sans"/>
        </w:rPr>
        <w:br/>
        <w:t>__________________________________________________</w:t>
      </w:r>
      <w:r w:rsidRPr="004347FF">
        <w:rPr>
          <w:rFonts w:ascii="Open Sans" w:hAnsi="Open Sans" w:cs="Open Sans"/>
          <w:b/>
        </w:rPr>
        <w:br/>
        <w:t>Assinatura do parceiro indicador</w:t>
      </w:r>
    </w:p>
    <w:p w14:paraId="3943AE27"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rPr>
        <w:t>Nome: ________________________________________________</w:t>
      </w:r>
    </w:p>
    <w:p w14:paraId="747CD32D" w14:textId="77777777" w:rsidR="00703367" w:rsidRPr="004347FF" w:rsidRDefault="00000000" w:rsidP="004347FF">
      <w:pPr>
        <w:spacing w:after="240" w:line="276" w:lineRule="auto"/>
        <w:rPr>
          <w:rFonts w:ascii="Open Sans" w:hAnsi="Open Sans" w:cs="Open Sans"/>
        </w:rPr>
      </w:pPr>
      <w:r w:rsidRPr="004347FF">
        <w:rPr>
          <w:rFonts w:ascii="Open Sans" w:hAnsi="Open Sans" w:cs="Open Sans"/>
        </w:rPr>
        <w:t>CPF/CNPJ: _____________________________________________</w:t>
      </w:r>
    </w:p>
    <w:p w14:paraId="73BE4A59" w14:textId="77777777" w:rsidR="00703367" w:rsidRPr="004347FF" w:rsidRDefault="00000000" w:rsidP="004347FF">
      <w:pPr>
        <w:spacing w:after="240" w:line="276" w:lineRule="auto"/>
        <w:jc w:val="center"/>
        <w:rPr>
          <w:rFonts w:ascii="Open Sans" w:hAnsi="Open Sans" w:cs="Open Sans"/>
        </w:rPr>
      </w:pPr>
      <w:r w:rsidRPr="004347FF">
        <w:rPr>
          <w:rFonts w:ascii="Open Sans" w:hAnsi="Open Sans" w:cs="Open Sans"/>
        </w:rPr>
        <w:br/>
        <w:t>__________________________________________________</w:t>
      </w:r>
      <w:r w:rsidRPr="004347FF">
        <w:rPr>
          <w:rFonts w:ascii="Open Sans" w:hAnsi="Open Sans" w:cs="Open Sans"/>
          <w:b/>
        </w:rPr>
        <w:br/>
        <w:t>Thopp Elevadores - ciência/recebimento</w:t>
      </w:r>
    </w:p>
    <w:sectPr w:rsidR="00703367" w:rsidRPr="004347FF" w:rsidSect="00034616">
      <w:headerReference w:type="default" r:id="rId8"/>
      <w:footerReference w:type="default" r:id="rId9"/>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4F1D" w14:textId="77777777" w:rsidR="002F65DA" w:rsidRPr="004347FF" w:rsidRDefault="002F65DA">
      <w:pPr>
        <w:spacing w:after="0" w:line="240" w:lineRule="auto"/>
      </w:pPr>
      <w:r w:rsidRPr="004347FF">
        <w:separator/>
      </w:r>
    </w:p>
  </w:endnote>
  <w:endnote w:type="continuationSeparator" w:id="0">
    <w:p w14:paraId="0601C5D3" w14:textId="77777777" w:rsidR="002F65DA" w:rsidRPr="004347FF" w:rsidRDefault="002F65DA">
      <w:pPr>
        <w:spacing w:after="0" w:line="240" w:lineRule="auto"/>
      </w:pPr>
      <w:r w:rsidRPr="00434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07DE" w14:textId="77777777" w:rsidR="00703367" w:rsidRPr="004347FF" w:rsidRDefault="00000000">
    <w:pPr>
      <w:pStyle w:val="Rodap"/>
      <w:jc w:val="center"/>
    </w:pPr>
    <w:r w:rsidRPr="004347FF">
      <w:rPr>
        <w:sz w:val="16"/>
      </w:rPr>
      <w:t xml:space="preserve">Página </w:t>
    </w:r>
    <w:r w:rsidRPr="004347FF">
      <w:rPr>
        <w:sz w:val="16"/>
      </w:rPr>
      <w:fldChar w:fldCharType="begin"/>
    </w:r>
    <w:r w:rsidRPr="004347FF">
      <w:rPr>
        <w:sz w:val="16"/>
      </w:rPr>
      <w:instrText>PAGE</w:instrText>
    </w:r>
    <w:r w:rsidRPr="004347FF">
      <w:rPr>
        <w:sz w:val="16"/>
      </w:rPr>
      <w:fldChar w:fldCharType="separate"/>
    </w:r>
    <w:r w:rsidR="004347FF" w:rsidRPr="004347FF">
      <w:rPr>
        <w:sz w:val="16"/>
      </w:rPr>
      <w:t>1</w:t>
    </w:r>
    <w:r w:rsidRPr="004347F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77EE" w14:textId="77777777" w:rsidR="002F65DA" w:rsidRPr="004347FF" w:rsidRDefault="002F65DA">
      <w:pPr>
        <w:spacing w:after="0" w:line="240" w:lineRule="auto"/>
      </w:pPr>
      <w:r w:rsidRPr="004347FF">
        <w:separator/>
      </w:r>
    </w:p>
  </w:footnote>
  <w:footnote w:type="continuationSeparator" w:id="0">
    <w:p w14:paraId="6FD71DF0" w14:textId="77777777" w:rsidR="002F65DA" w:rsidRPr="004347FF" w:rsidRDefault="002F65DA">
      <w:pPr>
        <w:spacing w:after="0" w:line="240" w:lineRule="auto"/>
      </w:pPr>
      <w:r w:rsidRPr="00434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13D2" w14:textId="5AC5D206" w:rsidR="00703367" w:rsidRDefault="00703367">
    <w:pPr>
      <w:pStyle w:val="Cabealho"/>
      <w:jc w:val="center"/>
      <w:rPr>
        <w:b/>
        <w:sz w:val="16"/>
      </w:rPr>
    </w:pPr>
  </w:p>
  <w:p w14:paraId="78AEB612" w14:textId="77777777" w:rsidR="004347FF" w:rsidRPr="004347FF" w:rsidRDefault="004347FF">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579560475">
    <w:abstractNumId w:val="8"/>
  </w:num>
  <w:num w:numId="2" w16cid:durableId="581598918">
    <w:abstractNumId w:val="6"/>
  </w:num>
  <w:num w:numId="3" w16cid:durableId="518397214">
    <w:abstractNumId w:val="5"/>
  </w:num>
  <w:num w:numId="4" w16cid:durableId="520360300">
    <w:abstractNumId w:val="4"/>
  </w:num>
  <w:num w:numId="5" w16cid:durableId="1329555837">
    <w:abstractNumId w:val="7"/>
  </w:num>
  <w:num w:numId="6" w16cid:durableId="1958873146">
    <w:abstractNumId w:val="3"/>
  </w:num>
  <w:num w:numId="7" w16cid:durableId="909461871">
    <w:abstractNumId w:val="2"/>
  </w:num>
  <w:num w:numId="8" w16cid:durableId="2040742409">
    <w:abstractNumId w:val="1"/>
  </w:num>
  <w:num w:numId="9" w16cid:durableId="610556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A2E"/>
    <w:rsid w:val="002F65DA"/>
    <w:rsid w:val="00326F90"/>
    <w:rsid w:val="004347FF"/>
    <w:rsid w:val="00447576"/>
    <w:rsid w:val="004639CD"/>
    <w:rsid w:val="006E0439"/>
    <w:rsid w:val="00703367"/>
    <w:rsid w:val="008E01A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00009"/>
  <w14:defaultImageDpi w14:val="300"/>
  <w15:docId w15:val="{31082558-9D43-464F-9116-B72F3648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lang w:val="pt-BR"/>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 w:val="22"/>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Kênia</cp:lastModifiedBy>
  <cp:revision>3</cp:revision>
  <dcterms:created xsi:type="dcterms:W3CDTF">2026-05-28T15:25:00Z</dcterms:created>
  <dcterms:modified xsi:type="dcterms:W3CDTF">2026-06-19T11:24:00Z</dcterms:modified>
  <cp:category/>
</cp:coreProperties>
</file>